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5D5DD9" w:rsidRDefault="00EB0D51" w14:paraId="6E7BEAA2" wp14:textId="77777777">
      <w:pPr>
        <w:jc w:val="center"/>
        <w:rPr>
          <w:rFonts w:ascii="Arial" w:hAnsi="Arial" w:eastAsia="Arial" w:cs="Arial"/>
          <w:sz w:val="18"/>
          <w:szCs w:val="18"/>
        </w:rPr>
      </w:pPr>
      <w:r>
        <w:rPr>
          <w:noProof/>
        </w:rPr>
        <w:drawing>
          <wp:inline xmlns:wp14="http://schemas.microsoft.com/office/word/2010/wordprocessingDrawing" distT="0" distB="0" distL="0" distR="0" wp14:anchorId="080276E9" wp14:editId="7777777">
            <wp:extent cx="5943600" cy="3930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93065"/>
                    </a:xfrm>
                    <a:prstGeom prst="rect">
                      <a:avLst/>
                    </a:prstGeom>
                    <a:ln/>
                  </pic:spPr>
                </pic:pic>
              </a:graphicData>
            </a:graphic>
          </wp:inline>
        </w:drawing>
      </w:r>
      <w:r>
        <w:rPr>
          <w:sz w:val="22"/>
          <w:szCs w:val="22"/>
        </w:rPr>
        <w:t> </w:t>
      </w:r>
    </w:p>
    <w:p xmlns:wp14="http://schemas.microsoft.com/office/word/2010/wordml" w:rsidR="005D5DD9" w:rsidRDefault="00EB0D51" w14:paraId="77B46E00" wp14:textId="77777777">
      <w:pPr>
        <w:jc w:val="center"/>
        <w:rPr>
          <w:rFonts w:ascii="Arial" w:hAnsi="Arial" w:eastAsia="Arial" w:cs="Arial"/>
          <w:sz w:val="18"/>
          <w:szCs w:val="18"/>
        </w:rPr>
      </w:pPr>
      <w:r>
        <w:rPr>
          <w:i/>
          <w:sz w:val="22"/>
          <w:szCs w:val="22"/>
        </w:rPr>
        <w:t>¿Quiénes son los Taínos?</w:t>
      </w:r>
    </w:p>
    <w:p xmlns:wp14="http://schemas.microsoft.com/office/word/2010/wordml" w:rsidR="005D5DD9" w:rsidRDefault="00EB0D51" w14:paraId="63E4A9CD" wp14:textId="77777777">
      <w:pPr>
        <w:jc w:val="center"/>
        <w:rPr>
          <w:rFonts w:ascii="Arial" w:hAnsi="Arial" w:eastAsia="Arial" w:cs="Arial"/>
          <w:sz w:val="18"/>
          <w:szCs w:val="18"/>
        </w:rPr>
      </w:pPr>
      <w:r>
        <w:rPr>
          <w:sz w:val="22"/>
          <w:szCs w:val="22"/>
        </w:rPr>
        <w:t> </w:t>
      </w:r>
    </w:p>
    <w:tbl>
      <w:tblPr>
        <w:tblStyle w:val="a"/>
        <w:tblW w:w="9344"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4572"/>
        <w:gridCol w:w="4772"/>
      </w:tblGrid>
      <w:tr xmlns:wp14="http://schemas.microsoft.com/office/word/2010/wordml" w:rsidR="005D5DD9" w:rsidTr="6AD8878F" w14:paraId="4125AEA3" wp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32FA13D8" wp14:textId="77777777">
            <w:pPr>
              <w:jc w:val="center"/>
              <w:rPr>
                <w:rFonts w:ascii="Times New Roman" w:hAnsi="Times New Roman" w:eastAsia="Times New Roman" w:cs="Times New Roman"/>
              </w:rPr>
            </w:pPr>
            <w:r>
              <w:rPr>
                <w:b/>
                <w:sz w:val="22"/>
                <w:szCs w:val="22"/>
              </w:rPr>
              <w:t>Introduction </w:t>
            </w:r>
            <w:r>
              <w:rPr>
                <w:sz w:val="22"/>
                <w:szCs w:val="22"/>
              </w:rPr>
              <w:t> </w:t>
            </w:r>
          </w:p>
        </w:tc>
      </w:tr>
      <w:tr xmlns:wp14="http://schemas.microsoft.com/office/word/2010/wordml" w:rsidR="005D5DD9" w:rsidTr="6AD8878F" w14:paraId="475E45C7" wp14:textId="77777777">
        <w:trPr>
          <w:trHeight w:val="54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6099E1E1" wp14:textId="77777777">
            <w:pPr>
              <w:rPr>
                <w:sz w:val="20"/>
                <w:szCs w:val="20"/>
              </w:rPr>
            </w:pPr>
            <w:r>
              <w:rPr>
                <w:sz w:val="20"/>
                <w:szCs w:val="20"/>
              </w:rPr>
              <w:t> The T</w:t>
            </w:r>
            <w:r>
              <w:rPr>
                <w:sz w:val="20"/>
                <w:szCs w:val="20"/>
              </w:rPr>
              <w:t>aíno peoples, often overshadowed by the more popular Aztec, Maya and Inca within foreign language instruction, were “once the most numerous indigenous people of the Caribbean” according to the Encyclopedia Britannica. They inhabited Cuba, Hispañola, Puerto Rico and other nearby islands and were the first indigenous people to make contact with Columbus upon his arrival in Hispañola.  Unfortunately, the arrival of the Europeans brought them to extinction through enslavement, starvation and disease…Or so it wa</w:t>
            </w:r>
            <w:r>
              <w:rPr>
                <w:sz w:val="20"/>
                <w:szCs w:val="20"/>
              </w:rPr>
              <w:t>s taught for many years until recent historic and scientific discoveries brought concrete proof to the contrary.</w:t>
            </w:r>
          </w:p>
          <w:p w:rsidR="005D5DD9" w:rsidRDefault="005D5DD9" w14:paraId="672A6659" wp14:textId="77777777">
            <w:pPr>
              <w:rPr>
                <w:sz w:val="20"/>
                <w:szCs w:val="20"/>
              </w:rPr>
            </w:pPr>
          </w:p>
          <w:p w:rsidR="005D5DD9" w:rsidRDefault="00EB0D51" w14:paraId="75CD966C" wp14:textId="77777777">
            <w:pPr>
              <w:rPr>
                <w:sz w:val="20"/>
                <w:szCs w:val="20"/>
              </w:rPr>
            </w:pPr>
            <w:r>
              <w:rPr>
                <w:sz w:val="20"/>
                <w:szCs w:val="20"/>
              </w:rPr>
              <w:t>This unit will walk Spanish (second language) students through some indigenous history of the Americas, European contact and its impact on the Taíno people in L2. As created ,it is intended for a level III / IV classroom, but could be scaled up or down in level.</w:t>
            </w:r>
          </w:p>
          <w:p w:rsidR="005D5DD9" w:rsidRDefault="005D5DD9" w14:paraId="0A37501D" wp14:textId="77777777">
            <w:pPr>
              <w:rPr>
                <w:sz w:val="20"/>
                <w:szCs w:val="20"/>
              </w:rPr>
            </w:pPr>
          </w:p>
        </w:tc>
      </w:tr>
      <w:tr xmlns:wp14="http://schemas.microsoft.com/office/word/2010/wordml" w:rsidR="005D5DD9" w:rsidTr="6AD8878F" w14:paraId="14F5B9FB" wp14:textId="77777777">
        <w:trPr>
          <w:trHeight w:val="1710"/>
        </w:trPr>
        <w:tc>
          <w:tcPr>
            <w:tcW w:w="45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727C08B1" wp14:textId="77777777">
            <w:pPr>
              <w:rPr>
                <w:rFonts w:ascii="Times New Roman" w:hAnsi="Times New Roman" w:eastAsia="Times New Roman" w:cs="Times New Roman"/>
              </w:rPr>
            </w:pPr>
            <w:r>
              <w:rPr>
                <w:b/>
                <w:sz w:val="22"/>
                <w:szCs w:val="22"/>
              </w:rPr>
              <w:t>Indiana Standards Connections: </w:t>
            </w:r>
            <w:r>
              <w:rPr>
                <w:sz w:val="22"/>
                <w:szCs w:val="22"/>
              </w:rPr>
              <w:t> </w:t>
            </w:r>
          </w:p>
          <w:p w:rsidR="005D5DD9" w:rsidRDefault="00EB0D51" w14:paraId="4D17554C" wp14:textId="77777777">
            <w:pPr>
              <w:rPr>
                <w:rFonts w:ascii="Times New Roman" w:hAnsi="Times New Roman" w:eastAsia="Times New Roman" w:cs="Times New Roman"/>
              </w:rPr>
            </w:pPr>
            <w:r>
              <w:rPr>
                <w:i/>
                <w:sz w:val="20"/>
                <w:szCs w:val="20"/>
              </w:rPr>
              <w:t> </w:t>
            </w:r>
            <w:r>
              <w:rPr>
                <w:sz w:val="20"/>
                <w:szCs w:val="20"/>
              </w:rPr>
              <w:t> </w:t>
            </w:r>
          </w:p>
          <w:p w:rsidR="005D5DD9" w:rsidRDefault="00EB0D51" w14:paraId="4EC4B2F0" wp14:textId="77777777">
            <w:pPr>
              <w:rPr>
                <w:sz w:val="20"/>
                <w:szCs w:val="20"/>
              </w:rPr>
            </w:pPr>
            <w:r>
              <w:rPr>
                <w:sz w:val="20"/>
                <w:szCs w:val="20"/>
              </w:rPr>
              <w:t> </w:t>
            </w:r>
            <w:r>
              <w:rPr>
                <w:b/>
                <w:sz w:val="20"/>
                <w:szCs w:val="20"/>
              </w:rPr>
              <w:t>1C.1I.IM.a -</w:t>
            </w:r>
            <w:r>
              <w:rPr>
                <w:sz w:val="20"/>
                <w:szCs w:val="20"/>
              </w:rPr>
              <w:t xml:space="preserve"> I can exchange information in conversations on familiar topics and some researched topics creating sentences and series of sentences and asking a variety of follow-up questions.</w:t>
            </w:r>
          </w:p>
          <w:p w:rsidR="005D5DD9" w:rsidRDefault="005D5DD9" w14:paraId="5DAB6C7B" wp14:textId="77777777">
            <w:pPr>
              <w:rPr>
                <w:sz w:val="20"/>
                <w:szCs w:val="20"/>
              </w:rPr>
            </w:pPr>
          </w:p>
          <w:p w:rsidR="005D5DD9" w:rsidRDefault="00EB0D51" w14:paraId="28A57A47" wp14:textId="77777777">
            <w:pPr>
              <w:rPr>
                <w:sz w:val="20"/>
                <w:szCs w:val="20"/>
              </w:rPr>
            </w:pPr>
            <w:r>
              <w:rPr>
                <w:b/>
                <w:sz w:val="20"/>
                <w:szCs w:val="20"/>
              </w:rPr>
              <w:t xml:space="preserve">1C.2I.IM.b </w:t>
            </w:r>
            <w:r>
              <w:rPr>
                <w:sz w:val="20"/>
                <w:szCs w:val="20"/>
              </w:rPr>
              <w:t>- In conversation and discussions I can understand the main idea and key information in short straightforward conversations.</w:t>
            </w:r>
          </w:p>
          <w:p w:rsidR="005D5DD9" w:rsidRDefault="005D5DD9" w14:paraId="02EB378F" wp14:textId="77777777">
            <w:pPr>
              <w:rPr>
                <w:sz w:val="20"/>
                <w:szCs w:val="20"/>
              </w:rPr>
            </w:pPr>
          </w:p>
          <w:p w:rsidR="005D5DD9" w:rsidRDefault="00EB0D51" w14:paraId="569BB6DD" wp14:textId="77777777">
            <w:pPr>
              <w:rPr>
                <w:sz w:val="20"/>
                <w:szCs w:val="20"/>
              </w:rPr>
            </w:pPr>
            <w:r>
              <w:rPr>
                <w:b/>
                <w:sz w:val="20"/>
                <w:szCs w:val="20"/>
              </w:rPr>
              <w:t xml:space="preserve">1C.2I.IH.a </w:t>
            </w:r>
            <w:r>
              <w:rPr>
                <w:sz w:val="20"/>
                <w:szCs w:val="20"/>
              </w:rPr>
              <w:t>- In both informational and fictional written texts, I can usually follow the main message in various time frames in straightforward, and sometimes descriptive texts.</w:t>
            </w:r>
          </w:p>
          <w:p w:rsidR="005D5DD9" w:rsidRDefault="005D5DD9" w14:paraId="6A05A809" wp14:textId="77777777">
            <w:pPr>
              <w:rPr>
                <w:sz w:val="20"/>
                <w:szCs w:val="20"/>
              </w:rPr>
            </w:pPr>
          </w:p>
          <w:p w:rsidR="005D5DD9" w:rsidRDefault="00EB0D51" w14:paraId="04A736EF" wp14:textId="77777777">
            <w:pPr>
              <w:rPr>
                <w:sz w:val="20"/>
                <w:szCs w:val="20"/>
              </w:rPr>
            </w:pPr>
            <w:r>
              <w:rPr>
                <w:b/>
                <w:sz w:val="20"/>
                <w:szCs w:val="20"/>
              </w:rPr>
              <w:t xml:space="preserve">2C.CI.I.b </w:t>
            </w:r>
            <w:r>
              <w:rPr>
                <w:sz w:val="20"/>
                <w:szCs w:val="20"/>
              </w:rPr>
              <w:t>- In my own and other cultures, I can compare practices related to everyday life and personal interests or studies.</w:t>
            </w:r>
          </w:p>
          <w:p w:rsidR="005D5DD9" w:rsidRDefault="005D5DD9" w14:paraId="5A39BBE3" wp14:textId="77777777">
            <w:pPr>
              <w:rPr>
                <w:sz w:val="20"/>
                <w:szCs w:val="20"/>
              </w:rPr>
            </w:pPr>
          </w:p>
          <w:p w:rsidR="005D5DD9" w:rsidRDefault="00EB0D51" w14:paraId="3135E068" wp14:textId="77777777">
            <w:pPr>
              <w:rPr>
                <w:sz w:val="20"/>
                <w:szCs w:val="20"/>
              </w:rPr>
            </w:pPr>
            <w:r>
              <w:rPr>
                <w:b/>
                <w:sz w:val="20"/>
                <w:szCs w:val="20"/>
              </w:rPr>
              <w:t xml:space="preserve">3C.IP.I </w:t>
            </w:r>
            <w:r>
              <w:rPr>
                <w:sz w:val="20"/>
                <w:szCs w:val="20"/>
              </w:rPr>
              <w:t>- With limited support from the teacher, I can access and evaluate complex information and perspectives that are available through the target language and its cultures.</w:t>
            </w:r>
          </w:p>
          <w:p w:rsidR="005D5DD9" w:rsidRDefault="005D5DD9" w14:paraId="41C8F396" wp14:textId="77777777">
            <w:pPr>
              <w:rPr>
                <w:sz w:val="20"/>
                <w:szCs w:val="20"/>
              </w:rPr>
            </w:pPr>
          </w:p>
          <w:p w:rsidR="005D5DD9" w:rsidRDefault="00EB0D51" w14:paraId="24A0B367" wp14:textId="77777777">
            <w:pPr>
              <w:rPr>
                <w:sz w:val="20"/>
                <w:szCs w:val="20"/>
              </w:rPr>
            </w:pPr>
            <w:r>
              <w:rPr>
                <w:b/>
                <w:sz w:val="20"/>
                <w:szCs w:val="20"/>
              </w:rPr>
              <w:t xml:space="preserve">3C.MC.I </w:t>
            </w:r>
            <w:r>
              <w:rPr>
                <w:sz w:val="20"/>
                <w:szCs w:val="20"/>
              </w:rPr>
              <w:t>- I can expand my knowledge of other disciplines while using the target language.</w:t>
            </w:r>
          </w:p>
          <w:p w:rsidR="005D5DD9" w:rsidRDefault="005D5DD9" w14:paraId="72A3D3EC" wp14:textId="77777777">
            <w:pPr>
              <w:rPr>
                <w:sz w:val="20"/>
                <w:szCs w:val="20"/>
              </w:rPr>
            </w:pPr>
          </w:p>
          <w:p w:rsidR="005D5DD9" w:rsidRDefault="00EB0D51" w14:paraId="293EB560" wp14:textId="77777777">
            <w:pPr>
              <w:rPr>
                <w:sz w:val="20"/>
                <w:szCs w:val="20"/>
              </w:rPr>
            </w:pPr>
            <w:r>
              <w:rPr>
                <w:b/>
                <w:sz w:val="20"/>
                <w:szCs w:val="20"/>
              </w:rPr>
              <w:t xml:space="preserve">4C.CC.I </w:t>
            </w:r>
            <w:r>
              <w:rPr>
                <w:sz w:val="20"/>
                <w:szCs w:val="20"/>
              </w:rPr>
              <w:t>- I can explain and provide generic details about differences and similarities between my community and cultures of the target language.</w:t>
            </w:r>
          </w:p>
        </w:tc>
        <w:tc>
          <w:tcPr>
            <w:tcW w:w="47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2BD8871F" wp14:textId="77777777">
            <w:pPr>
              <w:rPr>
                <w:rFonts w:ascii="Times New Roman" w:hAnsi="Times New Roman" w:eastAsia="Times New Roman" w:cs="Times New Roman"/>
              </w:rPr>
            </w:pPr>
            <w:r>
              <w:rPr>
                <w:b/>
                <w:sz w:val="22"/>
                <w:szCs w:val="22"/>
              </w:rPr>
              <w:t>Compelling Question(s): </w:t>
            </w:r>
            <w:r>
              <w:rPr>
                <w:sz w:val="22"/>
                <w:szCs w:val="22"/>
              </w:rPr>
              <w:t> </w:t>
            </w:r>
          </w:p>
          <w:p w:rsidR="005D5DD9" w:rsidRDefault="00EB0D51" w14:paraId="4F6584BE" wp14:textId="77777777">
            <w:pPr>
              <w:rPr>
                <w:rFonts w:ascii="Times New Roman" w:hAnsi="Times New Roman" w:eastAsia="Times New Roman" w:cs="Times New Roman"/>
              </w:rPr>
            </w:pPr>
            <w:r>
              <w:rPr>
                <w:sz w:val="22"/>
                <w:szCs w:val="22"/>
              </w:rPr>
              <w:t> </w:t>
            </w:r>
          </w:p>
          <w:p w:rsidR="005D5DD9" w:rsidRDefault="00EB0D51" w14:paraId="01D32EC2" wp14:textId="77777777">
            <w:pPr>
              <w:rPr>
                <w:sz w:val="22"/>
                <w:szCs w:val="22"/>
              </w:rPr>
            </w:pPr>
            <w:r>
              <w:rPr>
                <w:sz w:val="22"/>
                <w:szCs w:val="22"/>
              </w:rPr>
              <w:t> ¿Quiénes son los taínos?</w:t>
            </w:r>
          </w:p>
          <w:p w:rsidR="005D5DD9" w:rsidRDefault="005D5DD9" w14:paraId="0D0B940D" wp14:textId="77777777">
            <w:pPr>
              <w:rPr>
                <w:sz w:val="22"/>
                <w:szCs w:val="22"/>
              </w:rPr>
            </w:pPr>
          </w:p>
          <w:p w:rsidR="005D5DD9" w:rsidRDefault="00EB0D51" w14:paraId="379CBB61" wp14:textId="77777777">
            <w:pPr>
              <w:rPr>
                <w:sz w:val="22"/>
                <w:szCs w:val="22"/>
              </w:rPr>
            </w:pPr>
            <w:r>
              <w:rPr>
                <w:sz w:val="22"/>
                <w:szCs w:val="22"/>
              </w:rPr>
              <w:t>¿Por qué se sabe tan poquito de esta gente comparado con muchos otros grupos indígenas de Latinoamérica?</w:t>
            </w:r>
          </w:p>
          <w:p w:rsidR="005D5DD9" w:rsidRDefault="005D5DD9" w14:paraId="0E27B00A" wp14:textId="77777777">
            <w:pPr>
              <w:rPr>
                <w:sz w:val="22"/>
                <w:szCs w:val="22"/>
              </w:rPr>
            </w:pPr>
          </w:p>
          <w:p w:rsidR="005D5DD9" w:rsidRDefault="005D5DD9" w14:paraId="60061E4C" wp14:textId="77777777">
            <w:pPr>
              <w:rPr>
                <w:sz w:val="22"/>
                <w:szCs w:val="22"/>
              </w:rPr>
            </w:pPr>
          </w:p>
          <w:p w:rsidR="005D5DD9" w:rsidRDefault="00EB0D51" w14:paraId="09AF38FC" wp14:textId="77777777">
            <w:pPr>
              <w:rPr>
                <w:rFonts w:ascii="Times New Roman" w:hAnsi="Times New Roman" w:eastAsia="Times New Roman" w:cs="Times New Roman"/>
              </w:rPr>
            </w:pPr>
            <w:r>
              <w:rPr>
                <w:sz w:val="22"/>
                <w:szCs w:val="22"/>
              </w:rPr>
              <w:t> </w:t>
            </w:r>
          </w:p>
          <w:p w:rsidR="005D5DD9" w:rsidRDefault="00EB0D51" w14:paraId="15AA318D" wp14:textId="77777777">
            <w:pPr>
              <w:rPr>
                <w:rFonts w:ascii="Times New Roman" w:hAnsi="Times New Roman" w:eastAsia="Times New Roman" w:cs="Times New Roman"/>
              </w:rPr>
            </w:pPr>
            <w:r>
              <w:rPr>
                <w:sz w:val="20"/>
                <w:szCs w:val="20"/>
              </w:rPr>
              <w:t> </w:t>
            </w:r>
          </w:p>
          <w:p w:rsidR="005D5DD9" w:rsidRDefault="00EB0D51" w14:paraId="25E1FD54" wp14:textId="77777777">
            <w:pPr>
              <w:rPr>
                <w:rFonts w:ascii="Times New Roman" w:hAnsi="Times New Roman" w:eastAsia="Times New Roman" w:cs="Times New Roman"/>
              </w:rPr>
            </w:pPr>
            <w:r>
              <w:rPr>
                <w:sz w:val="20"/>
                <w:szCs w:val="20"/>
              </w:rPr>
              <w:t>    </w:t>
            </w:r>
          </w:p>
        </w:tc>
      </w:tr>
      <w:tr xmlns:wp14="http://schemas.microsoft.com/office/word/2010/wordml" w:rsidR="005D5DD9" w:rsidTr="6AD8878F" w14:paraId="641EE7D5" wp14:textId="77777777">
        <w:trPr>
          <w:trHeight w:val="1125"/>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1A4C5534" wp14:textId="77777777">
            <w:pPr>
              <w:rPr>
                <w:rFonts w:ascii="Times New Roman" w:hAnsi="Times New Roman" w:eastAsia="Times New Roman" w:cs="Times New Roman"/>
              </w:rPr>
            </w:pPr>
            <w:r>
              <w:rPr>
                <w:b/>
                <w:sz w:val="22"/>
                <w:szCs w:val="22"/>
              </w:rPr>
              <w:t>Lesson Objectives: </w:t>
            </w:r>
            <w:r>
              <w:rPr>
                <w:sz w:val="22"/>
                <w:szCs w:val="22"/>
              </w:rPr>
              <w:t> </w:t>
            </w:r>
          </w:p>
          <w:p w:rsidR="005D5DD9" w:rsidRDefault="00EB0D51" w14:paraId="01512BE8" wp14:textId="77777777">
            <w:pPr>
              <w:rPr>
                <w:rFonts w:ascii="Times New Roman" w:hAnsi="Times New Roman" w:eastAsia="Times New Roman" w:cs="Times New Roman"/>
              </w:rPr>
            </w:pPr>
            <w:r>
              <w:rPr>
                <w:sz w:val="22"/>
                <w:szCs w:val="22"/>
              </w:rPr>
              <w:t> </w:t>
            </w:r>
          </w:p>
          <w:p w:rsidR="005D5DD9" w:rsidRDefault="00EB0D51" w14:paraId="326D31E2" wp14:textId="77777777">
            <w:pPr>
              <w:rPr>
                <w:sz w:val="22"/>
                <w:szCs w:val="22"/>
              </w:rPr>
            </w:pPr>
            <w:r>
              <w:rPr>
                <w:sz w:val="22"/>
                <w:szCs w:val="22"/>
              </w:rPr>
              <w:t>Students will:  </w:t>
            </w:r>
          </w:p>
          <w:p w:rsidR="005D5DD9" w:rsidRDefault="00EB0D51" w14:paraId="04C83B5C" wp14:textId="77777777">
            <w:pPr>
              <w:rPr>
                <w:sz w:val="22"/>
                <w:szCs w:val="22"/>
              </w:rPr>
            </w:pPr>
            <w:r>
              <w:rPr>
                <w:sz w:val="22"/>
                <w:szCs w:val="22"/>
              </w:rPr>
              <w:t xml:space="preserve">   </w:t>
            </w:r>
          </w:p>
          <w:p w:rsidR="005D5DD9" w:rsidRDefault="00EB0D51" w14:paraId="39A3C0C5" wp14:textId="77777777">
            <w:pPr>
              <w:numPr>
                <w:ilvl w:val="0"/>
                <w:numId w:val="2"/>
              </w:numPr>
              <w:rPr>
                <w:sz w:val="22"/>
                <w:szCs w:val="22"/>
              </w:rPr>
            </w:pPr>
            <w:r>
              <w:rPr>
                <w:sz w:val="22"/>
                <w:szCs w:val="22"/>
              </w:rPr>
              <w:t>practice interpersonal communication in L2 in a impromptu yet guided conversations</w:t>
            </w:r>
          </w:p>
          <w:p w:rsidR="005D5DD9" w:rsidRDefault="00EB0D51" w14:paraId="08665FA4" wp14:textId="77777777">
            <w:pPr>
              <w:numPr>
                <w:ilvl w:val="0"/>
                <w:numId w:val="2"/>
              </w:numPr>
              <w:rPr>
                <w:sz w:val="22"/>
                <w:szCs w:val="22"/>
              </w:rPr>
            </w:pPr>
            <w:r>
              <w:rPr>
                <w:sz w:val="22"/>
                <w:szCs w:val="22"/>
              </w:rPr>
              <w:t>analyze symbolism in Taíno cave drawings in L2</w:t>
            </w:r>
          </w:p>
          <w:p w:rsidR="005D5DD9" w:rsidRDefault="00EB0D51" w14:paraId="0B98B69D" wp14:textId="77777777">
            <w:pPr>
              <w:numPr>
                <w:ilvl w:val="0"/>
                <w:numId w:val="2"/>
              </w:numPr>
              <w:rPr>
                <w:sz w:val="22"/>
                <w:szCs w:val="22"/>
              </w:rPr>
            </w:pPr>
            <w:r>
              <w:rPr>
                <w:sz w:val="22"/>
                <w:szCs w:val="22"/>
              </w:rPr>
              <w:t>compare and contrast different indigenous groups of Central and South America in L2</w:t>
            </w:r>
          </w:p>
          <w:p w:rsidR="005D5DD9" w:rsidRDefault="00EB0D51" w14:paraId="31EBD30A" wp14:textId="77777777">
            <w:pPr>
              <w:numPr>
                <w:ilvl w:val="0"/>
                <w:numId w:val="2"/>
              </w:numPr>
              <w:rPr>
                <w:sz w:val="22"/>
                <w:szCs w:val="22"/>
              </w:rPr>
            </w:pPr>
            <w:r>
              <w:rPr>
                <w:sz w:val="22"/>
                <w:szCs w:val="22"/>
              </w:rPr>
              <w:t>read an extended National Geographic article in L2 about recent events regarding Taíno culture</w:t>
            </w:r>
          </w:p>
          <w:p w:rsidR="005D5DD9" w:rsidRDefault="00EB0D51" w14:paraId="07513A19" wp14:textId="77777777">
            <w:pPr>
              <w:numPr>
                <w:ilvl w:val="0"/>
                <w:numId w:val="2"/>
              </w:numPr>
              <w:rPr>
                <w:sz w:val="22"/>
                <w:szCs w:val="22"/>
              </w:rPr>
            </w:pPr>
            <w:r>
              <w:rPr>
                <w:sz w:val="22"/>
                <w:szCs w:val="22"/>
              </w:rPr>
              <w:t>contemplate why these events may have played out in the way that they did</w:t>
            </w:r>
          </w:p>
          <w:p w:rsidR="005D5DD9" w:rsidRDefault="005D5DD9" w14:paraId="44EAFD9C" wp14:textId="77777777">
            <w:pPr>
              <w:rPr>
                <w:sz w:val="22"/>
                <w:szCs w:val="22"/>
              </w:rPr>
            </w:pPr>
          </w:p>
          <w:p w:rsidR="005D5DD9" w:rsidRDefault="00EB0D51" w14:paraId="0DA70637" wp14:textId="77777777">
            <w:pPr>
              <w:ind w:left="360"/>
              <w:rPr>
                <w:rFonts w:ascii="Times New Roman" w:hAnsi="Times New Roman" w:eastAsia="Times New Roman" w:cs="Times New Roman"/>
              </w:rPr>
            </w:pPr>
            <w:r>
              <w:rPr>
                <w:sz w:val="22"/>
                <w:szCs w:val="22"/>
              </w:rPr>
              <w:t> </w:t>
            </w:r>
          </w:p>
        </w:tc>
      </w:tr>
      <w:tr xmlns:wp14="http://schemas.microsoft.com/office/word/2010/wordml" w:rsidR="005D5DD9" w:rsidTr="6AD8878F" w14:paraId="2F598FF5" wp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75E8C4B2" wp14:textId="77777777">
            <w:pPr>
              <w:jc w:val="center"/>
              <w:rPr>
                <w:rFonts w:ascii="Times New Roman" w:hAnsi="Times New Roman" w:eastAsia="Times New Roman" w:cs="Times New Roman"/>
              </w:rPr>
            </w:pPr>
            <w:r>
              <w:rPr>
                <w:b/>
                <w:sz w:val="22"/>
                <w:szCs w:val="22"/>
              </w:rPr>
              <w:t>Materials </w:t>
            </w:r>
            <w:r>
              <w:rPr>
                <w:sz w:val="22"/>
                <w:szCs w:val="22"/>
              </w:rPr>
              <w:t> </w:t>
            </w:r>
          </w:p>
        </w:tc>
      </w:tr>
      <w:tr xmlns:wp14="http://schemas.microsoft.com/office/word/2010/wordml" w:rsidR="005D5DD9" w:rsidTr="6AD8878F" w14:paraId="52C09497" wp14:textId="77777777">
        <w:trPr>
          <w:trHeight w:val="129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2EEED1E9" wp14:textId="77777777">
            <w:pPr>
              <w:numPr>
                <w:ilvl w:val="0"/>
                <w:numId w:val="3"/>
              </w:numPr>
            </w:pPr>
            <w:r>
              <w:rPr>
                <w:sz w:val="20"/>
                <w:szCs w:val="20"/>
              </w:rPr>
              <w:t> </w:t>
            </w:r>
            <w:r>
              <w:rPr>
                <w:rFonts w:ascii="Times New Roman" w:hAnsi="Times New Roman" w:eastAsia="Times New Roman" w:cs="Times New Roman"/>
                <w:sz w:val="14"/>
                <w:szCs w:val="14"/>
              </w:rPr>
              <w:t xml:space="preserve">  </w:t>
            </w:r>
            <w:r>
              <w:rPr>
                <w:sz w:val="20"/>
                <w:szCs w:val="20"/>
              </w:rPr>
              <w:t>Class Projection Device</w:t>
            </w:r>
            <w:r>
              <w:rPr>
                <w:sz w:val="20"/>
                <w:szCs w:val="20"/>
              </w:rPr>
              <w:br/>
            </w:r>
          </w:p>
          <w:p w:rsidR="005D5DD9" w:rsidRDefault="00EB0D51" w14:paraId="39B01D18" wp14:textId="77777777">
            <w:pPr>
              <w:numPr>
                <w:ilvl w:val="0"/>
                <w:numId w:val="3"/>
              </w:numPr>
              <w:spacing w:line="276" w:lineRule="auto"/>
              <w:rPr>
                <w:sz w:val="20"/>
                <w:szCs w:val="20"/>
              </w:rPr>
            </w:pPr>
            <w:r>
              <w:rPr>
                <w:rFonts w:ascii="Times New Roman" w:hAnsi="Times New Roman" w:eastAsia="Times New Roman" w:cs="Times New Roman"/>
                <w:sz w:val="14"/>
                <w:szCs w:val="14"/>
              </w:rPr>
              <w:t xml:space="preserve">  </w:t>
            </w:r>
            <w:r>
              <w:rPr>
                <w:sz w:val="20"/>
                <w:szCs w:val="20"/>
              </w:rPr>
              <w:t>Access to the following CLASC items in the Indiana University Digital Toolbox:</w:t>
            </w:r>
          </w:p>
          <w:p w:rsidR="005D5DD9" w:rsidRDefault="00EB0D51" w14:paraId="6D92457C" wp14:textId="77777777">
            <w:pPr>
              <w:numPr>
                <w:ilvl w:val="1"/>
                <w:numId w:val="3"/>
              </w:numPr>
              <w:spacing w:line="276" w:lineRule="auto"/>
              <w:rPr>
                <w:sz w:val="20"/>
                <w:szCs w:val="20"/>
              </w:rPr>
            </w:pPr>
            <w:r>
              <w:rPr>
                <w:sz w:val="20"/>
                <w:szCs w:val="20"/>
              </w:rPr>
              <w:t>José María Cave</w:t>
            </w:r>
          </w:p>
          <w:p w:rsidR="005D5DD9" w:rsidRDefault="00EB0D51" w14:paraId="520FC7C9" wp14:textId="77777777">
            <w:pPr>
              <w:numPr>
                <w:ilvl w:val="0"/>
                <w:numId w:val="3"/>
              </w:numPr>
              <w:rPr>
                <w:sz w:val="20"/>
                <w:szCs w:val="20"/>
              </w:rPr>
            </w:pPr>
            <w:hyperlink r:id="R723315ac7332432a">
              <w:r w:rsidRPr="6AD8878F" w:rsidR="00EB0D51">
                <w:rPr>
                  <w:rStyle w:val="Hyperlink"/>
                  <w:sz w:val="20"/>
                  <w:szCs w:val="20"/>
                  <w:highlight w:val="green"/>
                </w:rPr>
                <w:t>Guided conversation Slideshow</w:t>
              </w:r>
            </w:hyperlink>
            <w:r w:rsidRPr="6AD8878F" w:rsidR="00EB0D51">
              <w:rPr>
                <w:sz w:val="20"/>
                <w:szCs w:val="20"/>
              </w:rPr>
              <w:t xml:space="preserve"> in L2 </w:t>
            </w:r>
          </w:p>
          <w:p w:rsidR="005D5DD9" w:rsidRDefault="005D5DD9" w14:paraId="4B94D5A5" wp14:textId="77777777">
            <w:pPr>
              <w:rPr>
                <w:sz w:val="20"/>
                <w:szCs w:val="20"/>
              </w:rPr>
            </w:pPr>
          </w:p>
          <w:p w:rsidR="005D5DD9" w:rsidRDefault="00EB0D51" w14:paraId="789E3BA4" wp14:textId="77777777">
            <w:pPr>
              <w:numPr>
                <w:ilvl w:val="0"/>
                <w:numId w:val="3"/>
              </w:numPr>
              <w:rPr>
                <w:sz w:val="20"/>
                <w:szCs w:val="20"/>
              </w:rPr>
            </w:pPr>
            <w:r w:rsidRPr="6AD8878F" w:rsidR="00EB0D51">
              <w:rPr>
                <w:sz w:val="20"/>
                <w:szCs w:val="20"/>
              </w:rPr>
              <w:t>Copies of</w:t>
            </w:r>
            <w:r w:rsidRPr="6AD8878F" w:rsidR="00EB0D51">
              <w:rPr>
                <w:sz w:val="20"/>
                <w:szCs w:val="20"/>
                <w:highlight w:val="magenta"/>
              </w:rPr>
              <w:t xml:space="preserve"> </w:t>
            </w:r>
            <w:hyperlink r:id="R6940eedb97d145fc">
              <w:r w:rsidRPr="6AD8878F" w:rsidR="00EB0D51">
                <w:rPr>
                  <w:rStyle w:val="Hyperlink"/>
                  <w:sz w:val="20"/>
                  <w:szCs w:val="20"/>
                  <w:highlight w:val="magenta"/>
                </w:rPr>
                <w:t>Student Activity Page</w:t>
              </w:r>
            </w:hyperlink>
          </w:p>
          <w:p w:rsidR="005D5DD9" w:rsidRDefault="005D5DD9" w14:paraId="3DEEC669" wp14:textId="77777777">
            <w:pPr>
              <w:ind w:left="720"/>
              <w:rPr>
                <w:sz w:val="20"/>
                <w:szCs w:val="20"/>
                <w:highlight w:val="magenta"/>
              </w:rPr>
            </w:pPr>
          </w:p>
          <w:p w:rsidR="005D5DD9" w:rsidRDefault="00EB0D51" w14:paraId="2B20FBA9" wp14:textId="77777777">
            <w:pPr>
              <w:numPr>
                <w:ilvl w:val="0"/>
                <w:numId w:val="3"/>
              </w:numPr>
              <w:rPr>
                <w:sz w:val="20"/>
                <w:szCs w:val="20"/>
              </w:rPr>
            </w:pPr>
            <w:r w:rsidRPr="6AD8878F" w:rsidR="00EB0D51">
              <w:rPr>
                <w:sz w:val="20"/>
                <w:szCs w:val="20"/>
              </w:rPr>
              <w:t xml:space="preserve">Copies of </w:t>
            </w:r>
            <w:hyperlink r:id="R5896fcb7dcd54c88">
              <w:r w:rsidRPr="6AD8878F" w:rsidR="00EB0D51">
                <w:rPr>
                  <w:rStyle w:val="Hyperlink"/>
                  <w:sz w:val="20"/>
                  <w:szCs w:val="20"/>
                  <w:highlight w:val="cyan"/>
                </w:rPr>
                <w:t>Genocidio</w:t>
              </w:r>
              <w:r w:rsidRPr="6AD8878F" w:rsidR="00EB0D51">
                <w:rPr>
                  <w:rStyle w:val="Hyperlink"/>
                  <w:sz w:val="20"/>
                  <w:szCs w:val="20"/>
                  <w:highlight w:val="cyan"/>
                </w:rPr>
                <w:t xml:space="preserve"> </w:t>
              </w:r>
              <w:r w:rsidRPr="6AD8878F" w:rsidR="00EB0D51">
                <w:rPr>
                  <w:rStyle w:val="Hyperlink"/>
                  <w:sz w:val="20"/>
                  <w:szCs w:val="20"/>
                  <w:highlight w:val="cyan"/>
                </w:rPr>
                <w:t>sobre</w:t>
              </w:r>
              <w:r w:rsidRPr="6AD8878F" w:rsidR="00EB0D51">
                <w:rPr>
                  <w:rStyle w:val="Hyperlink"/>
                  <w:sz w:val="20"/>
                  <w:szCs w:val="20"/>
                  <w:highlight w:val="cyan"/>
                </w:rPr>
                <w:t xml:space="preserve"> </w:t>
              </w:r>
              <w:r w:rsidRPr="6AD8878F" w:rsidR="00EB0D51">
                <w:rPr>
                  <w:rStyle w:val="Hyperlink"/>
                  <w:sz w:val="20"/>
                  <w:szCs w:val="20"/>
                  <w:highlight w:val="cyan"/>
                </w:rPr>
                <w:t>el</w:t>
              </w:r>
              <w:r w:rsidRPr="6AD8878F" w:rsidR="00EB0D51">
                <w:rPr>
                  <w:rStyle w:val="Hyperlink"/>
                  <w:sz w:val="20"/>
                  <w:szCs w:val="20"/>
                  <w:highlight w:val="cyan"/>
                </w:rPr>
                <w:t xml:space="preserve"> </w:t>
              </w:r>
              <w:r w:rsidRPr="6AD8878F" w:rsidR="00EB0D51">
                <w:rPr>
                  <w:rStyle w:val="Hyperlink"/>
                  <w:sz w:val="20"/>
                  <w:szCs w:val="20"/>
                  <w:highlight w:val="cyan"/>
                </w:rPr>
                <w:t>papel</w:t>
              </w:r>
              <w:r w:rsidRPr="6AD8878F" w:rsidR="00EB0D51">
                <w:rPr>
                  <w:rStyle w:val="Hyperlink"/>
                  <w:sz w:val="20"/>
                  <w:szCs w:val="20"/>
                  <w:highlight w:val="cyan"/>
                </w:rPr>
                <w:t xml:space="preserve"> reading</w:t>
              </w:r>
            </w:hyperlink>
          </w:p>
          <w:p w:rsidR="005D5DD9" w:rsidRDefault="005D5DD9" w14:paraId="3656B9AB" wp14:textId="77777777">
            <w:pPr>
              <w:rPr>
                <w:rFonts w:ascii="Times New Roman" w:hAnsi="Times New Roman" w:eastAsia="Times New Roman" w:cs="Times New Roman"/>
              </w:rPr>
            </w:pPr>
          </w:p>
          <w:p w:rsidR="005D5DD9" w:rsidRDefault="00EB0D51" w14:paraId="46624170" wp14:textId="77777777">
            <w:pPr>
              <w:rPr>
                <w:rFonts w:ascii="Times New Roman" w:hAnsi="Times New Roman" w:eastAsia="Times New Roman" w:cs="Times New Roman"/>
              </w:rPr>
            </w:pPr>
            <w:r>
              <w:rPr>
                <w:sz w:val="20"/>
                <w:szCs w:val="20"/>
              </w:rPr>
              <w:t> </w:t>
            </w:r>
          </w:p>
          <w:p w:rsidR="005D5DD9" w:rsidRDefault="00EB0D51" w14:paraId="4B8484D5" wp14:textId="77777777">
            <w:pPr>
              <w:rPr>
                <w:rFonts w:ascii="Times New Roman" w:hAnsi="Times New Roman" w:eastAsia="Times New Roman" w:cs="Times New Roman"/>
              </w:rPr>
            </w:pPr>
            <w:r>
              <w:rPr>
                <w:sz w:val="20"/>
                <w:szCs w:val="20"/>
              </w:rPr>
              <w:t> </w:t>
            </w:r>
          </w:p>
        </w:tc>
      </w:tr>
      <w:tr xmlns:wp14="http://schemas.microsoft.com/office/word/2010/wordml" w:rsidR="005D5DD9" w:rsidTr="6AD8878F" w14:paraId="00211D3E" wp14:textId="77777777">
        <w:trPr>
          <w:trHeight w:val="30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4E3777FD" wp14:textId="77777777">
            <w:pPr>
              <w:jc w:val="center"/>
              <w:rPr>
                <w:rFonts w:ascii="Times New Roman" w:hAnsi="Times New Roman" w:eastAsia="Times New Roman" w:cs="Times New Roman"/>
              </w:rPr>
            </w:pPr>
            <w:r>
              <w:rPr>
                <w:b/>
                <w:sz w:val="22"/>
                <w:szCs w:val="22"/>
              </w:rPr>
              <w:t>Learning Plan</w:t>
            </w:r>
            <w:r>
              <w:rPr>
                <w:sz w:val="22"/>
                <w:szCs w:val="22"/>
              </w:rPr>
              <w:t> </w:t>
            </w:r>
          </w:p>
        </w:tc>
      </w:tr>
      <w:tr xmlns:wp14="http://schemas.microsoft.com/office/word/2010/wordml" w:rsidR="005D5DD9" w:rsidTr="6AD8878F" w14:paraId="0EEE9C46" wp14:textId="77777777">
        <w:trPr>
          <w:trHeight w:val="1635"/>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1DDC06B5" wp14:textId="77777777">
            <w:pPr>
              <w:rPr>
                <w:rFonts w:ascii="Times New Roman" w:hAnsi="Times New Roman" w:eastAsia="Times New Roman" w:cs="Times New Roman"/>
              </w:rPr>
            </w:pPr>
            <w:r>
              <w:rPr>
                <w:b/>
                <w:sz w:val="22"/>
                <w:szCs w:val="22"/>
              </w:rPr>
              <w:t>Activities </w:t>
            </w:r>
            <w:r>
              <w:rPr>
                <w:sz w:val="22"/>
                <w:szCs w:val="22"/>
              </w:rPr>
              <w:t> </w:t>
            </w:r>
          </w:p>
          <w:p w:rsidR="005D5DD9" w:rsidRDefault="00EB0D51" w14:paraId="23FF244D" wp14:textId="77777777">
            <w:pPr>
              <w:numPr>
                <w:ilvl w:val="0"/>
                <w:numId w:val="4"/>
              </w:numPr>
              <w:rPr>
                <w:sz w:val="22"/>
                <w:szCs w:val="22"/>
              </w:rPr>
            </w:pPr>
            <w:r>
              <w:rPr>
                <w:sz w:val="22"/>
                <w:szCs w:val="22"/>
              </w:rPr>
              <w:t>Begin by either presenting new vocabulary or reviewing previous vocab that will be used within this lesson. Look through the primary reading for the lesson (Genocidio sobre el papel) to determine which new vocabulary your students will most need.</w:t>
            </w:r>
          </w:p>
          <w:p w:rsidR="005D5DD9" w:rsidRDefault="00EB0D51" w14:paraId="1101FFD1" wp14:textId="77777777">
            <w:pPr>
              <w:numPr>
                <w:ilvl w:val="0"/>
                <w:numId w:val="6"/>
              </w:numPr>
              <w:rPr>
                <w:sz w:val="22"/>
                <w:szCs w:val="22"/>
              </w:rPr>
            </w:pPr>
            <w:r>
              <w:rPr>
                <w:sz w:val="22"/>
                <w:szCs w:val="22"/>
                <w:u w:val="single"/>
              </w:rPr>
              <w:t>If presenting new vocabulary</w:t>
            </w:r>
            <w:r>
              <w:rPr>
                <w:sz w:val="22"/>
                <w:szCs w:val="22"/>
              </w:rPr>
              <w:t xml:space="preserve">, the list can be turned into a slideshow or a Quizlet Live / Gimkit Activity that students can explore outside of class. </w:t>
            </w:r>
          </w:p>
          <w:p w:rsidR="005D5DD9" w:rsidRDefault="00EB0D51" w14:paraId="5AD5B954" wp14:textId="77777777">
            <w:pPr>
              <w:numPr>
                <w:ilvl w:val="0"/>
                <w:numId w:val="6"/>
              </w:numPr>
              <w:rPr>
                <w:sz w:val="22"/>
                <w:szCs w:val="22"/>
              </w:rPr>
            </w:pPr>
            <w:r>
              <w:rPr>
                <w:sz w:val="22"/>
                <w:szCs w:val="22"/>
                <w:u w:val="single"/>
              </w:rPr>
              <w:t>If reviewing previously taught vocabulary</w:t>
            </w:r>
            <w:r>
              <w:rPr>
                <w:sz w:val="22"/>
                <w:szCs w:val="22"/>
              </w:rPr>
              <w:t>, the students can work in pairs to add the English to the list from memory and then further repetition can be given through a Quizlet Live / Gimkit Activity.</w:t>
            </w:r>
          </w:p>
          <w:p w:rsidR="005D5DD9" w:rsidRDefault="00EB0D51" w14:paraId="44E99135" wp14:textId="77777777">
            <w:pPr>
              <w:numPr>
                <w:ilvl w:val="0"/>
                <w:numId w:val="4"/>
              </w:numPr>
              <w:rPr>
                <w:sz w:val="22"/>
                <w:szCs w:val="22"/>
              </w:rPr>
            </w:pPr>
            <w:r w:rsidRPr="6AD8878F" w:rsidR="00EB0D51">
              <w:rPr>
                <w:sz w:val="22"/>
                <w:szCs w:val="22"/>
              </w:rPr>
              <w:t xml:space="preserve">Once vocabulary has been introduced, pass out the </w:t>
            </w:r>
            <w:hyperlink r:id="R778c773a7a9a40a4">
              <w:r w:rsidRPr="6AD8878F" w:rsidR="00EB0D51">
                <w:rPr>
                  <w:rStyle w:val="Hyperlink"/>
                  <w:sz w:val="22"/>
                  <w:szCs w:val="22"/>
                  <w:highlight w:val="magenta"/>
                </w:rPr>
                <w:t>Student Activity Pages</w:t>
              </w:r>
            </w:hyperlink>
            <w:r w:rsidRPr="6AD8878F" w:rsidR="00EB0D51">
              <w:rPr>
                <w:sz w:val="22"/>
                <w:szCs w:val="22"/>
              </w:rPr>
              <w:t xml:space="preserve"> and begin walking through the</w:t>
            </w:r>
            <w:r w:rsidRPr="6AD8878F" w:rsidR="00EB0D51">
              <w:rPr>
                <w:sz w:val="22"/>
                <w:szCs w:val="22"/>
                <w:highlight w:val="green"/>
              </w:rPr>
              <w:t xml:space="preserve"> </w:t>
            </w:r>
            <w:hyperlink r:id="R40ce0bb5c4f74dc9">
              <w:r w:rsidRPr="6AD8878F" w:rsidR="00EB0D51">
                <w:rPr>
                  <w:rStyle w:val="Hyperlink"/>
                  <w:sz w:val="22"/>
                  <w:szCs w:val="22"/>
                  <w:highlight w:val="green"/>
                </w:rPr>
                <w:t>Guided Conversation Slideshow</w:t>
              </w:r>
            </w:hyperlink>
            <w:r w:rsidRPr="6AD8878F" w:rsidR="00EB0D51">
              <w:rPr>
                <w:sz w:val="22"/>
                <w:szCs w:val="22"/>
                <w:highlight w:val="green"/>
              </w:rPr>
              <w:t xml:space="preserve"> </w:t>
            </w:r>
            <w:r w:rsidRPr="6AD8878F" w:rsidR="00EB0D51">
              <w:rPr>
                <w:sz w:val="22"/>
                <w:szCs w:val="22"/>
              </w:rPr>
              <w:t xml:space="preserve">with students working in conversational pairs in L2. Teacher cues are provided built in and some notes for how to </w:t>
            </w:r>
            <w:r w:rsidRPr="6AD8878F" w:rsidR="00EB0D51">
              <w:rPr>
                <w:sz w:val="22"/>
                <w:szCs w:val="22"/>
              </w:rPr>
              <w:t>proceed</w:t>
            </w:r>
            <w:r w:rsidRPr="6AD8878F" w:rsidR="00EB0D51">
              <w:rPr>
                <w:sz w:val="22"/>
                <w:szCs w:val="22"/>
              </w:rPr>
              <w:t xml:space="preserve"> are included on the first slide (to be skipped or eliminated when showing in the classroom). </w:t>
            </w:r>
          </w:p>
          <w:p w:rsidR="005D5DD9" w:rsidRDefault="00EB0D51" w14:paraId="6DC322C9" wp14:textId="77777777">
            <w:pPr>
              <w:numPr>
                <w:ilvl w:val="1"/>
                <w:numId w:val="5"/>
              </w:numPr>
              <w:rPr>
                <w:sz w:val="22"/>
                <w:szCs w:val="22"/>
              </w:rPr>
            </w:pPr>
            <w:r w:rsidRPr="6AD8878F" w:rsidR="00EB0D51">
              <w:rPr>
                <w:sz w:val="22"/>
                <w:szCs w:val="22"/>
              </w:rPr>
              <w:t>There is an extended L2 reading (</w:t>
            </w:r>
            <w:r w:rsidRPr="6AD8878F" w:rsidR="00EB0D51">
              <w:rPr>
                <w:sz w:val="22"/>
                <w:szCs w:val="22"/>
                <w:highlight w:val="cyan"/>
              </w:rPr>
              <w:t xml:space="preserve"> </w:t>
            </w:r>
            <w:hyperlink r:id="R62dfa1afef8d4f1b">
              <w:r w:rsidRPr="6AD8878F" w:rsidR="00EB0D51">
                <w:rPr>
                  <w:rStyle w:val="Hyperlink"/>
                  <w:sz w:val="22"/>
                  <w:szCs w:val="22"/>
                  <w:highlight w:val="cyan"/>
                </w:rPr>
                <w:t>Genocidio</w:t>
              </w:r>
              <w:r w:rsidRPr="6AD8878F" w:rsidR="00EB0D51">
                <w:rPr>
                  <w:rStyle w:val="Hyperlink"/>
                  <w:sz w:val="22"/>
                  <w:szCs w:val="22"/>
                  <w:highlight w:val="cyan"/>
                </w:rPr>
                <w:t xml:space="preserve"> </w:t>
              </w:r>
              <w:r w:rsidRPr="6AD8878F" w:rsidR="00EB0D51">
                <w:rPr>
                  <w:rStyle w:val="Hyperlink"/>
                  <w:sz w:val="22"/>
                  <w:szCs w:val="22"/>
                  <w:highlight w:val="cyan"/>
                </w:rPr>
                <w:t>sobre</w:t>
              </w:r>
              <w:r w:rsidRPr="6AD8878F" w:rsidR="00EB0D51">
                <w:rPr>
                  <w:rStyle w:val="Hyperlink"/>
                  <w:sz w:val="22"/>
                  <w:szCs w:val="22"/>
                  <w:highlight w:val="cyan"/>
                </w:rPr>
                <w:t xml:space="preserve"> </w:t>
              </w:r>
              <w:r w:rsidRPr="6AD8878F" w:rsidR="00EB0D51">
                <w:rPr>
                  <w:rStyle w:val="Hyperlink"/>
                  <w:sz w:val="22"/>
                  <w:szCs w:val="22"/>
                  <w:highlight w:val="cyan"/>
                </w:rPr>
                <w:t>el</w:t>
              </w:r>
              <w:r w:rsidRPr="6AD8878F" w:rsidR="00EB0D51">
                <w:rPr>
                  <w:rStyle w:val="Hyperlink"/>
                  <w:sz w:val="22"/>
                  <w:szCs w:val="22"/>
                  <w:highlight w:val="cyan"/>
                </w:rPr>
                <w:t xml:space="preserve"> </w:t>
              </w:r>
              <w:r w:rsidRPr="6AD8878F" w:rsidR="00EB0D51">
                <w:rPr>
                  <w:rStyle w:val="Hyperlink"/>
                  <w:sz w:val="22"/>
                  <w:szCs w:val="22"/>
                  <w:highlight w:val="cyan"/>
                </w:rPr>
                <w:t>papel</w:t>
              </w:r>
            </w:hyperlink>
            <w:r w:rsidRPr="6AD8878F" w:rsidR="00EB0D51">
              <w:rPr>
                <w:sz w:val="22"/>
                <w:szCs w:val="22"/>
              </w:rPr>
              <w:t>) embedded within the slideshow that should also be printed for each student / pair and handed out when the Guided Conversation comes to it on slide 23.</w:t>
            </w:r>
          </w:p>
          <w:p w:rsidR="005D5DD9" w:rsidRDefault="00EB0D51" w14:paraId="5D9BF0F7" wp14:textId="77777777">
            <w:pPr>
              <w:numPr>
                <w:ilvl w:val="1"/>
                <w:numId w:val="5"/>
              </w:numPr>
              <w:rPr>
                <w:sz w:val="22"/>
                <w:szCs w:val="22"/>
              </w:rPr>
            </w:pPr>
            <w:r>
              <w:rPr>
                <w:sz w:val="22"/>
                <w:szCs w:val="22"/>
              </w:rPr>
              <w:t>There are a couple of additional slides at the end for continued discussion / contemplation after you have walked them through the reading in your preferred manner.</w:t>
            </w:r>
          </w:p>
          <w:p w:rsidR="005D5DD9" w:rsidRDefault="005D5DD9" w14:paraId="45FB0818" wp14:textId="77777777">
            <w:pPr>
              <w:ind w:left="1440"/>
            </w:pPr>
          </w:p>
          <w:p w:rsidR="005D5DD9" w:rsidRDefault="005D5DD9" w14:paraId="049F31CB" wp14:textId="77777777">
            <w:pPr>
              <w:ind w:left="720"/>
            </w:pPr>
          </w:p>
        </w:tc>
      </w:tr>
      <w:tr xmlns:wp14="http://schemas.microsoft.com/office/word/2010/wordml" w:rsidR="005D5DD9" w:rsidTr="6AD8878F" w14:paraId="5BBC5695" wp14:textId="77777777">
        <w:trPr>
          <w:trHeight w:val="132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2D5BACFA" wp14:textId="77777777">
            <w:pPr>
              <w:rPr>
                <w:sz w:val="20"/>
                <w:szCs w:val="20"/>
              </w:rPr>
            </w:pPr>
            <w:r>
              <w:rPr>
                <w:b/>
                <w:sz w:val="22"/>
                <w:szCs w:val="22"/>
              </w:rPr>
              <w:t>Assessment Suggestions </w:t>
            </w:r>
            <w:r>
              <w:rPr>
                <w:sz w:val="20"/>
                <w:szCs w:val="20"/>
              </w:rPr>
              <w:t>  </w:t>
            </w:r>
          </w:p>
          <w:p w:rsidR="005D5DD9" w:rsidRDefault="005D5DD9" w14:paraId="53128261" wp14:textId="77777777">
            <w:pPr>
              <w:rPr>
                <w:sz w:val="20"/>
                <w:szCs w:val="20"/>
              </w:rPr>
            </w:pPr>
          </w:p>
          <w:p w:rsidR="005D5DD9" w:rsidRDefault="00EB0D51" w14:paraId="5DF3DABF" wp14:textId="77777777">
            <w:pPr>
              <w:numPr>
                <w:ilvl w:val="0"/>
                <w:numId w:val="1"/>
              </w:numPr>
              <w:rPr>
                <w:sz w:val="20"/>
                <w:szCs w:val="20"/>
              </w:rPr>
            </w:pPr>
            <w:r>
              <w:rPr>
                <w:sz w:val="20"/>
                <w:szCs w:val="20"/>
              </w:rPr>
              <w:t>Students could write a summary or response to the material in short essay format - Presentational Writing</w:t>
            </w:r>
          </w:p>
          <w:p w:rsidR="005D5DD9" w:rsidRDefault="00EB0D51" w14:paraId="3E763583" wp14:textId="77777777">
            <w:pPr>
              <w:numPr>
                <w:ilvl w:val="0"/>
                <w:numId w:val="1"/>
              </w:numPr>
              <w:rPr>
                <w:sz w:val="20"/>
                <w:szCs w:val="20"/>
              </w:rPr>
            </w:pPr>
            <w:r>
              <w:rPr>
                <w:sz w:val="20"/>
                <w:szCs w:val="20"/>
              </w:rPr>
              <w:t>Students could do further research on Taíno culture to present in L2 - Presentational Speaking</w:t>
            </w:r>
          </w:p>
          <w:p w:rsidR="005D5DD9" w:rsidRDefault="00EB0D51" w14:paraId="79DD250D" wp14:textId="77777777">
            <w:pPr>
              <w:numPr>
                <w:ilvl w:val="0"/>
                <w:numId w:val="1"/>
              </w:numPr>
              <w:rPr>
                <w:sz w:val="20"/>
                <w:szCs w:val="20"/>
              </w:rPr>
            </w:pPr>
            <w:r>
              <w:rPr>
                <w:sz w:val="20"/>
                <w:szCs w:val="20"/>
              </w:rPr>
              <w:t>Students could converse in partners for a specific length of time, sharing their reactions and opinions over what they learned - Interpersonal Communication</w:t>
            </w:r>
          </w:p>
          <w:p w:rsidR="005D5DD9" w:rsidRDefault="00EB0D51" w14:paraId="10BFD120" wp14:textId="77777777">
            <w:pPr>
              <w:numPr>
                <w:ilvl w:val="0"/>
                <w:numId w:val="1"/>
              </w:numPr>
              <w:rPr>
                <w:sz w:val="20"/>
                <w:szCs w:val="20"/>
              </w:rPr>
            </w:pPr>
            <w:r>
              <w:rPr>
                <w:sz w:val="20"/>
                <w:szCs w:val="20"/>
              </w:rPr>
              <w:t>A True/False quiz-style  review of the content in L2 - Interpretive Reading (or listening if given out loud)</w:t>
            </w:r>
          </w:p>
          <w:p w:rsidR="005D5DD9" w:rsidRDefault="005D5DD9" w14:paraId="62486C05" wp14:textId="77777777">
            <w:pPr>
              <w:rPr>
                <w:rFonts w:ascii="Times New Roman" w:hAnsi="Times New Roman" w:eastAsia="Times New Roman" w:cs="Times New Roman"/>
              </w:rPr>
            </w:pPr>
          </w:p>
          <w:p w:rsidR="005D5DD9" w:rsidRDefault="00EB0D51" w14:paraId="63D9C952" wp14:textId="77777777">
            <w:pPr>
              <w:rPr>
                <w:rFonts w:ascii="Times New Roman" w:hAnsi="Times New Roman" w:eastAsia="Times New Roman" w:cs="Times New Roman"/>
              </w:rPr>
            </w:pPr>
            <w:r>
              <w:rPr>
                <w:sz w:val="22"/>
                <w:szCs w:val="22"/>
              </w:rPr>
              <w:t>  </w:t>
            </w:r>
          </w:p>
        </w:tc>
      </w:tr>
      <w:tr xmlns:wp14="http://schemas.microsoft.com/office/word/2010/wordml" w:rsidR="005D5DD9" w:rsidTr="6AD8878F" w14:paraId="3BEB5FD6" wp14:textId="77777777">
        <w:trPr>
          <w:trHeight w:val="132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5D5DD9" w:rsidRDefault="00EB0D51" w14:paraId="3427E585" wp14:textId="77777777">
            <w:pPr>
              <w:rPr>
                <w:rFonts w:ascii="Times New Roman" w:hAnsi="Times New Roman" w:eastAsia="Times New Roman" w:cs="Times New Roman"/>
              </w:rPr>
            </w:pPr>
            <w:r>
              <w:rPr>
                <w:b/>
                <w:sz w:val="22"/>
                <w:szCs w:val="22"/>
              </w:rPr>
              <w:t>Extensions </w:t>
            </w:r>
            <w:r>
              <w:rPr>
                <w:sz w:val="22"/>
                <w:szCs w:val="22"/>
              </w:rPr>
              <w:t> </w:t>
            </w:r>
          </w:p>
          <w:p w:rsidR="005D5DD9" w:rsidRDefault="00EB0D51" w14:paraId="702887EA" wp14:textId="77777777">
            <w:pPr>
              <w:numPr>
                <w:ilvl w:val="0"/>
                <w:numId w:val="7"/>
              </w:numPr>
              <w:rPr>
                <w:sz w:val="22"/>
                <w:szCs w:val="22"/>
              </w:rPr>
            </w:pPr>
            <w:r>
              <w:rPr>
                <w:sz w:val="22"/>
                <w:szCs w:val="22"/>
              </w:rPr>
              <w:t>There are lots of numbers and dates within this unit. Reviewing large numbers and dates with years could be added as a side practice.</w:t>
            </w:r>
          </w:p>
          <w:p w:rsidR="005D5DD9" w:rsidRDefault="00EB0D51" w14:paraId="1F8B50DB" wp14:textId="77777777">
            <w:pPr>
              <w:numPr>
                <w:ilvl w:val="0"/>
                <w:numId w:val="7"/>
              </w:numPr>
              <w:rPr>
                <w:sz w:val="22"/>
                <w:szCs w:val="22"/>
              </w:rPr>
            </w:pPr>
            <w:r>
              <w:rPr>
                <w:sz w:val="22"/>
                <w:szCs w:val="22"/>
              </w:rPr>
              <w:t> Additional L2 reading pra</w:t>
            </w:r>
            <w:r>
              <w:rPr>
                <w:sz w:val="22"/>
                <w:szCs w:val="22"/>
              </w:rPr>
              <w:t xml:space="preserve">ctices on the Taínos can be found here: </w:t>
            </w:r>
          </w:p>
          <w:p w:rsidR="005D5DD9" w:rsidRDefault="00EB0D51" w14:paraId="3CBB3359" wp14:textId="77777777">
            <w:pPr>
              <w:numPr>
                <w:ilvl w:val="1"/>
                <w:numId w:val="7"/>
              </w:numPr>
              <w:rPr>
                <w:sz w:val="22"/>
                <w:szCs w:val="22"/>
              </w:rPr>
            </w:pPr>
            <w:hyperlink r:id="rId7">
              <w:r>
                <w:rPr>
                  <w:color w:val="1155CC"/>
                  <w:sz w:val="22"/>
                  <w:szCs w:val="22"/>
                  <w:u w:val="single"/>
                </w:rPr>
                <w:t>https://americanindian.si.edu/nk360/pdf/Taino-Gallery-Guide-Spanish.pdf</w:t>
              </w:r>
            </w:hyperlink>
          </w:p>
          <w:p w:rsidR="005D5DD9" w:rsidRDefault="00EB0D51" w14:paraId="70D2FC52" wp14:textId="77777777">
            <w:pPr>
              <w:numPr>
                <w:ilvl w:val="1"/>
                <w:numId w:val="7"/>
              </w:numPr>
              <w:rPr>
                <w:sz w:val="22"/>
                <w:szCs w:val="22"/>
              </w:rPr>
            </w:pPr>
            <w:hyperlink r:id="rId8">
              <w:r>
                <w:rPr>
                  <w:color w:val="1155CC"/>
                  <w:sz w:val="22"/>
                  <w:szCs w:val="22"/>
                  <w:u w:val="single"/>
                </w:rPr>
                <w:t>https://www.nationalgeographic.es/historia/2018/02/el-pueblo-indigena-con-el-que-se-encontro-colon-aun-tiene-descendientes-vivos</w:t>
              </w:r>
            </w:hyperlink>
          </w:p>
          <w:p w:rsidR="005D5DD9" w:rsidRDefault="005D5DD9" w14:paraId="4101652C" wp14:textId="77777777">
            <w:pPr>
              <w:numPr>
                <w:ilvl w:val="1"/>
                <w:numId w:val="7"/>
              </w:numPr>
              <w:rPr>
                <w:sz w:val="22"/>
                <w:szCs w:val="22"/>
              </w:rPr>
            </w:pPr>
          </w:p>
          <w:p w:rsidR="005D5DD9" w:rsidRDefault="00EB0D51" w14:paraId="5F558ADC" wp14:textId="77777777">
            <w:pPr>
              <w:numPr>
                <w:ilvl w:val="0"/>
                <w:numId w:val="7"/>
              </w:numPr>
              <w:rPr>
                <w:sz w:val="22"/>
                <w:szCs w:val="22"/>
              </w:rPr>
            </w:pPr>
            <w:r>
              <w:rPr>
                <w:sz w:val="22"/>
                <w:szCs w:val="22"/>
              </w:rPr>
              <w:t xml:space="preserve">Students could </w:t>
            </w:r>
            <w:r>
              <w:rPr>
                <w:sz w:val="22"/>
                <w:szCs w:val="22"/>
              </w:rPr>
              <w:t>further</w:t>
            </w:r>
            <w:r>
              <w:rPr>
                <w:sz w:val="22"/>
                <w:szCs w:val="22"/>
              </w:rPr>
              <w:t xml:space="preserve"> research any of the other presented groups and share a presentation with the class</w:t>
            </w:r>
          </w:p>
          <w:p w:rsidR="005D5DD9" w:rsidRDefault="00EB0D51" w14:paraId="1A986813" wp14:textId="77777777">
            <w:pPr>
              <w:numPr>
                <w:ilvl w:val="0"/>
                <w:numId w:val="7"/>
              </w:numPr>
              <w:rPr>
                <w:sz w:val="22"/>
                <w:szCs w:val="22"/>
              </w:rPr>
            </w:pPr>
            <w:r>
              <w:rPr>
                <w:sz w:val="22"/>
                <w:szCs w:val="22"/>
              </w:rPr>
              <w:t xml:space="preserve">North American indigenous groups, along with the Mapuche of South American, could be added to the unit </w:t>
            </w:r>
          </w:p>
          <w:p w:rsidR="005D5DD9" w:rsidRDefault="00EB0D51" w14:paraId="68FA2DFE" wp14:textId="77777777">
            <w:pPr>
              <w:rPr>
                <w:rFonts w:ascii="Times New Roman" w:hAnsi="Times New Roman" w:eastAsia="Times New Roman" w:cs="Times New Roman"/>
              </w:rPr>
            </w:pPr>
            <w:r>
              <w:rPr>
                <w:sz w:val="22"/>
                <w:szCs w:val="22"/>
              </w:rPr>
              <w:t>  </w:t>
            </w:r>
          </w:p>
        </w:tc>
      </w:tr>
    </w:tbl>
    <w:p xmlns:wp14="http://schemas.microsoft.com/office/word/2010/wordml" w:rsidR="005D5DD9" w:rsidRDefault="00EB0D51" w14:paraId="4F8F56C0" wp14:textId="77777777">
      <w:pPr>
        <w:rPr>
          <w:rFonts w:ascii="Arial" w:hAnsi="Arial" w:eastAsia="Arial" w:cs="Arial"/>
          <w:sz w:val="18"/>
          <w:szCs w:val="18"/>
        </w:rPr>
      </w:pPr>
      <w:r>
        <w:rPr>
          <w:sz w:val="22"/>
          <w:szCs w:val="22"/>
        </w:rPr>
        <w:t> </w:t>
      </w:r>
    </w:p>
    <w:p xmlns:wp14="http://schemas.microsoft.com/office/word/2010/wordml" w:rsidR="005D5DD9" w:rsidRDefault="00EB0D51" w14:paraId="649CC1FA" wp14:textId="77777777">
      <w:pPr>
        <w:rPr>
          <w:rFonts w:ascii="Arial" w:hAnsi="Arial" w:eastAsia="Arial" w:cs="Arial"/>
          <w:sz w:val="18"/>
          <w:szCs w:val="18"/>
        </w:rPr>
      </w:pPr>
      <w:r>
        <w:rPr>
          <w:sz w:val="22"/>
          <w:szCs w:val="22"/>
        </w:rPr>
        <w:t> </w:t>
      </w:r>
    </w:p>
    <w:p xmlns:wp14="http://schemas.microsoft.com/office/word/2010/wordml" w:rsidR="005D5DD9" w:rsidRDefault="00EB0D51" w14:paraId="10EF996B" wp14:textId="77777777">
      <w:pPr>
        <w:rPr>
          <w:rFonts w:ascii="Arial" w:hAnsi="Arial" w:eastAsia="Arial" w:cs="Arial"/>
          <w:sz w:val="18"/>
          <w:szCs w:val="18"/>
        </w:rPr>
      </w:pPr>
      <w:r>
        <w:rPr>
          <w:sz w:val="18"/>
          <w:szCs w:val="18"/>
        </w:rPr>
        <w:t> </w:t>
      </w:r>
    </w:p>
    <w:p xmlns:wp14="http://schemas.microsoft.com/office/word/2010/wordml" w:rsidR="005D5DD9" w:rsidRDefault="00EB0D51" w14:paraId="5E3886A4" wp14:textId="77777777">
      <w:pPr>
        <w:rPr>
          <w:rFonts w:ascii="Arial" w:hAnsi="Arial" w:eastAsia="Arial" w:cs="Arial"/>
          <w:sz w:val="18"/>
          <w:szCs w:val="18"/>
        </w:rPr>
      </w:pPr>
      <w:r>
        <w:rPr>
          <w:sz w:val="18"/>
          <w:szCs w:val="18"/>
        </w:rPr>
        <w:t> </w:t>
      </w:r>
    </w:p>
    <w:p xmlns:wp14="http://schemas.microsoft.com/office/word/2010/wordml" w:rsidR="005D5DD9" w:rsidRDefault="00EB0D51" w14:paraId="4ECEB114" wp14:textId="77777777">
      <w:pPr>
        <w:rPr>
          <w:rFonts w:ascii="Arial" w:hAnsi="Arial" w:eastAsia="Arial" w:cs="Arial"/>
          <w:sz w:val="18"/>
          <w:szCs w:val="18"/>
        </w:rPr>
      </w:pPr>
      <w:r>
        <w:rPr>
          <w:sz w:val="18"/>
          <w:szCs w:val="18"/>
        </w:rPr>
        <w:t> </w:t>
      </w:r>
    </w:p>
    <w:p xmlns:wp14="http://schemas.microsoft.com/office/word/2010/wordml" w:rsidR="005D5DD9" w:rsidRDefault="005D5DD9" w14:paraId="4B99056E" wp14:textId="77777777"/>
    <w:sectPr w:rsidR="005D5DD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74D"/>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139672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87D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7361D3"/>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0DF14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9B3D1D"/>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E121B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8664965">
    <w:abstractNumId w:val="4"/>
  </w:num>
  <w:num w:numId="2" w16cid:durableId="1680737815">
    <w:abstractNumId w:val="2"/>
  </w:num>
  <w:num w:numId="3" w16cid:durableId="595091555">
    <w:abstractNumId w:val="1"/>
  </w:num>
  <w:num w:numId="4" w16cid:durableId="1337458805">
    <w:abstractNumId w:val="5"/>
  </w:num>
  <w:num w:numId="5" w16cid:durableId="1840920151">
    <w:abstractNumId w:val="3"/>
  </w:num>
  <w:num w:numId="6" w16cid:durableId="1633511903">
    <w:abstractNumId w:val="0"/>
  </w:num>
  <w:num w:numId="7" w16cid:durableId="5015456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D9"/>
    <w:rsid w:val="005D5DD9"/>
    <w:rsid w:val="00A77820"/>
    <w:rsid w:val="00EB0D51"/>
    <w:rsid w:val="018772AC"/>
    <w:rsid w:val="3FFB42C9"/>
    <w:rsid w:val="6AD8878F"/>
    <w:rsid w:val="73E4BB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FE472E"/>
  <w15:docId w15:val="{FFA59CFB-3739-428C-BFA7-A5F091933E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ionalgeographic.es/historia/2018/02/el-pueblo-indigena-con-el-que-se-encontro-colon-aun-tiene-descendientes-vivos" TargetMode="External"/><Relationship Id="R778c773a7a9a40a4" Type="http://schemas.openxmlformats.org/officeDocument/2006/relationships/hyperlink" Target="https://indiana-my.sharepoint.com/:w:/g/personal/colames_iu_edu/EekYOUMX6tpBkhmLlMxlDMQBJu_o3_VB8t1qjlPhKkVrJA?e=HiIba1" TargetMode="External"/><Relationship Id="rId13" Type="http://schemas.openxmlformats.org/officeDocument/2006/relationships/customXml" Target="../customXml/item4.xml"/><Relationship Id="rId3" Type="http://schemas.openxmlformats.org/officeDocument/2006/relationships/styles" Target="styles.xml"/><Relationship Id="R723315ac7332432a" Type="http://schemas.openxmlformats.org/officeDocument/2006/relationships/hyperlink" Target="https://indiana-my.sharepoint.com/:p:/g/personal/colames_iu_edu/EctjK47o27JBjd9dwHSl7WMB71H_kyA73zSqF75cX5TI8A?e=5WbM5B" TargetMode="External"/><Relationship Id="R62dfa1afef8d4f1b" Type="http://schemas.openxmlformats.org/officeDocument/2006/relationships/hyperlink" Target="https://indiana-my.sharepoint.com/:w:/g/personal/colames_iu_edu/EciUbkbFekFNu05OW-8wZ4cBM4F6fLUx0yA8ntM4B1_YtA?e=k822Qu" TargetMode="External"/><Relationship Id="rId7" Type="http://schemas.openxmlformats.org/officeDocument/2006/relationships/hyperlink" Target="https://americanindian.si.edu/nk360/pdf/Taino-Gallery-Guide-Spanish.pdf" TargetMode="External"/><Relationship Id="R5896fcb7dcd54c88" Type="http://schemas.openxmlformats.org/officeDocument/2006/relationships/hyperlink" Target="https://indiana-my.sharepoint.com/:w:/g/personal/colames_iu_edu/EciUbkbFekFNu05OW-8wZ4cBM4F6fLUx0yA8ntM4B1_YtA?e=k822Qu" TargetMode="External"/><Relationship Id="rId12" Type="http://schemas.openxmlformats.org/officeDocument/2006/relationships/customXml" Target="../customXml/item3.xml"/><Relationship Id="rId2" Type="http://schemas.openxmlformats.org/officeDocument/2006/relationships/numbering" Target="numbering.xml"/><Relationship Id="R40ce0bb5c4f74dc9" Type="http://schemas.openxmlformats.org/officeDocument/2006/relationships/hyperlink" Target="https://indiana-my.sharepoint.com/:p:/g/personal/colames_iu_edu/EctjK47o27JBjd9dwHSl7WMB71H_kyA73zSqF75cX5TI8A?e=5WbM5B" TargetMode="External"/><Relationship Id="rId1" Type="http://schemas.openxmlformats.org/officeDocument/2006/relationships/customXml" Target="../customXml/item1.xml"/><Relationship Id="rId6" Type="http://schemas.openxmlformats.org/officeDocument/2006/relationships/image" Target="media/image1.png"/><Relationship Id="R6940eedb97d145fc" Type="http://schemas.openxmlformats.org/officeDocument/2006/relationships/hyperlink" Target="https://indiana-my.sharepoint.com/:w:/g/personal/colames_iu_edu/EekYOUMX6tpBkhmLlMxlDMQBJu_o3_VB8t1qjlPhKkVrJA?e=HiIba1"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WGUsIfu/z4Kyfj0783tV2C2ztQ==">CgMxLjA4AHIhMXZ6S2VZUkgxQm9nWnNFUnB5UEZqbW1yQTd2TGo1YzVn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MediaLengthInSeconds xmlns="0a90f05e-5b10-40ec-a511-95bbb679e97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D986860-ABD5-4B30-9A8A-7CAD4C788AD7}"/>
</file>

<file path=customXml/itemProps3.xml><?xml version="1.0" encoding="utf-8"?>
<ds:datastoreItem xmlns:ds="http://schemas.openxmlformats.org/officeDocument/2006/customXml" ds:itemID="{305FC4EB-0492-4078-8710-C37F3B47AAD3}"/>
</file>

<file path=customXml/itemProps4.xml><?xml version="1.0" encoding="utf-8"?>
<ds:datastoreItem xmlns:ds="http://schemas.openxmlformats.org/officeDocument/2006/customXml" ds:itemID="{345434F2-E44F-439B-BE44-4A5EE68ACA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Ames, Colton Thomas</dc:creator>
  <cp:lastModifiedBy>Kim, Jina</cp:lastModifiedBy>
  <cp:revision>2</cp:revision>
  <dcterms:created xsi:type="dcterms:W3CDTF">2024-05-29T18:35:00Z</dcterms:created>
  <dcterms:modified xsi:type="dcterms:W3CDTF">2024-05-29T18:39:22Z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